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2E7" w:rsidRDefault="00A712E7" w:rsidP="00A712E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27 </w:t>
      </w: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Хрестоматия </w:t>
      </w:r>
      <w:r>
        <w:rPr>
          <w:rFonts w:ascii="TimesNewRoman" w:hAnsi="TimesNewRoman" w:cs="TimesNewRoman"/>
          <w:sz w:val="24"/>
          <w:szCs w:val="24"/>
        </w:rPr>
        <w:t>по истории государства и права СССР. Дооктябрьский период</w:t>
      </w:r>
      <w:proofErr w:type="gramStart"/>
      <w:r>
        <w:rPr>
          <w:rFonts w:ascii="TimesNewRoman" w:hAnsi="TimesNewRoman" w:cs="TimesNewRoman"/>
          <w:sz w:val="24"/>
          <w:szCs w:val="24"/>
        </w:rPr>
        <w:t xml:space="preserve"> / П</w:t>
      </w:r>
      <w:proofErr w:type="gramEnd"/>
      <w:r>
        <w:rPr>
          <w:rFonts w:ascii="TimesNewRoman" w:hAnsi="TimesNewRoman" w:cs="TimesNewRoman"/>
          <w:sz w:val="24"/>
          <w:szCs w:val="24"/>
        </w:rPr>
        <w:t>од ред. Ю.</w:t>
      </w:r>
    </w:p>
    <w:p w:rsidR="00A712E7" w:rsidRDefault="00A712E7" w:rsidP="00A712E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П. Титова, О. И. Чистякова. М., 1990, </w:t>
      </w:r>
      <w:proofErr w:type="gramStart"/>
      <w:r>
        <w:rPr>
          <w:rFonts w:ascii="TimesNewRoman" w:hAnsi="TimesNewRoman" w:cs="TimesNewRoman"/>
          <w:sz w:val="24"/>
          <w:szCs w:val="24"/>
        </w:rPr>
        <w:t>Русская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Правда: ст. 9 – 12: Тиун – княжеский или</w:t>
      </w:r>
    </w:p>
    <w:p w:rsidR="00A712E7" w:rsidRDefault="00A712E7" w:rsidP="00A712E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боярский приказчик, управитель; тиун </w:t>
      </w:r>
      <w:proofErr w:type="spellStart"/>
      <w:r>
        <w:rPr>
          <w:rFonts w:ascii="TimesNewRoman" w:hAnsi="TimesNewRoman" w:cs="TimesNewRoman"/>
          <w:sz w:val="24"/>
          <w:szCs w:val="24"/>
        </w:rPr>
        <w:t>огнищний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– домоправитель; тиун конюший – княжеский муж,</w:t>
      </w:r>
    </w:p>
    <w:p w:rsidR="00A712E7" w:rsidRDefault="00A712E7" w:rsidP="00A712E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управлявший табунами и конюшнями князя; тиун сельский – ведал княжескими селами и всеми </w:t>
      </w:r>
      <w:proofErr w:type="gramStart"/>
      <w:r>
        <w:rPr>
          <w:rFonts w:ascii="TimesNewRoman" w:hAnsi="TimesNewRoman" w:cs="TimesNewRoman"/>
          <w:sz w:val="24"/>
          <w:szCs w:val="24"/>
        </w:rPr>
        <w:t>с</w:t>
      </w:r>
      <w:proofErr w:type="gramEnd"/>
      <w:r>
        <w:rPr>
          <w:rFonts w:ascii="TimesNewRoman" w:hAnsi="TimesNewRoman" w:cs="TimesNewRoman"/>
          <w:sz w:val="24"/>
          <w:szCs w:val="24"/>
        </w:rPr>
        <w:t>/</w:t>
      </w:r>
      <w:proofErr w:type="spellStart"/>
      <w:r>
        <w:rPr>
          <w:rFonts w:ascii="TimesNewRoman" w:hAnsi="TimesNewRoman" w:cs="TimesNewRoman"/>
          <w:sz w:val="24"/>
          <w:szCs w:val="24"/>
        </w:rPr>
        <w:t>х</w:t>
      </w:r>
      <w:proofErr w:type="spellEnd"/>
    </w:p>
    <w:p w:rsidR="00A712E7" w:rsidRDefault="00A712E7" w:rsidP="00A712E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spellStart"/>
      <w:r>
        <w:rPr>
          <w:rFonts w:ascii="TimesNewRoman" w:hAnsi="TimesNewRoman" w:cs="TimesNewRoman"/>
          <w:sz w:val="24"/>
          <w:szCs w:val="24"/>
        </w:rPr>
        <w:t>угодиями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; тиун </w:t>
      </w:r>
      <w:proofErr w:type="spellStart"/>
      <w:r>
        <w:rPr>
          <w:rFonts w:ascii="TimesNewRoman" w:hAnsi="TimesNewRoman" w:cs="TimesNewRoman"/>
          <w:sz w:val="24"/>
          <w:szCs w:val="24"/>
        </w:rPr>
        <w:t>ратайный</w:t>
      </w:r>
      <w:proofErr w:type="spellEnd"/>
      <w:r>
        <w:rPr>
          <w:rFonts w:ascii="TimesNewRoman" w:hAnsi="TimesNewRoman" w:cs="TimesNewRoman"/>
          <w:sz w:val="24"/>
          <w:szCs w:val="24"/>
        </w:rPr>
        <w:t xml:space="preserve"> – лицо, ведавшее пахотными работами. Следовательно, видим</w:t>
      </w:r>
    </w:p>
    <w:p w:rsidR="001360CC" w:rsidRDefault="00A712E7" w:rsidP="00A712E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дифференциацию княжеского административного аппарата.</w:t>
      </w:r>
    </w:p>
    <w:p w:rsidR="001360CC" w:rsidRDefault="001360CC" w:rsidP="001360CC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1360CC" w:rsidRDefault="001360CC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Однако после смерти Ярослава Мудрого в 1054 году русская земля была, согласно его завещанию,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разделена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между пятью его сыновьями, что положило начало так называемому "удельному периоду"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государства и удельной системе управления. С этого времени число поделенных земель все более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возрастает.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В центральном управлении складывается дворцово-вотчинная система. Эта система берет свое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начало еще с древнейшего времени, смысл </w:t>
      </w:r>
      <w:proofErr w:type="gramStart"/>
      <w:r>
        <w:rPr>
          <w:rFonts w:ascii="TimesNewRoman" w:hAnsi="TimesNewRoman" w:cs="TimesNewRoman"/>
          <w:sz w:val="24"/>
          <w:szCs w:val="24"/>
        </w:rPr>
        <w:t>которой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в соединении управления великокняжеским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дворцом с государственным управлением. Управление осуществлялось из княжеского дворца его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аппаратом без разделения функций на государственные и частные.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В великокняжеском хозяйстве имелись разного рода слуги, ведавшие удовлетворением тех или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proofErr w:type="gramStart"/>
      <w:r>
        <w:rPr>
          <w:rFonts w:ascii="TimesNewRoman" w:hAnsi="TimesNewRoman" w:cs="TimesNewRoman"/>
          <w:sz w:val="24"/>
          <w:szCs w:val="24"/>
        </w:rPr>
        <w:t>иных жизненных потребностей: дворецкий, ловчий, печатник, стольник, чашник, конюший и т.д.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Со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временем князья поручают им какие-либо сферы управления, так или иначе связанные </w:t>
      </w:r>
      <w:proofErr w:type="gramStart"/>
      <w:r>
        <w:rPr>
          <w:rFonts w:ascii="TimesNewRoman" w:hAnsi="TimesNewRoman" w:cs="TimesNewRoman"/>
          <w:sz w:val="24"/>
          <w:szCs w:val="24"/>
        </w:rPr>
        <w:t>с</w:t>
      </w:r>
      <w:proofErr w:type="gramEnd"/>
      <w:r>
        <w:rPr>
          <w:rFonts w:ascii="TimesNewRoman" w:hAnsi="TimesNewRoman" w:cs="TimesNewRoman"/>
          <w:sz w:val="24"/>
          <w:szCs w:val="24"/>
        </w:rPr>
        <w:t xml:space="preserve"> их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первоначальной деятельностью, предоставляют им для этого необходимые средства и правовую защиту.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Так, Русская Правда защищает княжеских мужей и слуг, осуществляющих службу в пользу князя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и государства. Закон устанавливает лишь некоторые аспекты правового статуса аппарата князя. Она</w:t>
      </w:r>
    </w:p>
    <w:p w:rsidR="00586457" w:rsidRDefault="00586457" w:rsidP="0058645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устанавливает двойственную виру (штраф за убийство) в 80 гривен за убийство княжеских слуг, тиунов,</w:t>
      </w:r>
    </w:p>
    <w:p w:rsidR="00FB40DC" w:rsidRDefault="00586457" w:rsidP="00586457">
      <w:r>
        <w:rPr>
          <w:rFonts w:ascii="TimesNewRoman" w:hAnsi="TimesNewRoman" w:cs="TimesNewRoman"/>
          <w:sz w:val="24"/>
          <w:szCs w:val="24"/>
        </w:rPr>
        <w:t>конюхов, огнищан. Но о самих боярах и дружинниках кодекс молчит.</w:t>
      </w:r>
    </w:p>
    <w:sectPr w:rsidR="00FB40DC" w:rsidSect="002B5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6457"/>
    <w:rsid w:val="001360CC"/>
    <w:rsid w:val="002B5A2D"/>
    <w:rsid w:val="00586457"/>
    <w:rsid w:val="00A712E7"/>
    <w:rsid w:val="00B221D0"/>
    <w:rsid w:val="00FB4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On7X</dc:creator>
  <cp:keywords/>
  <dc:description/>
  <cp:lastModifiedBy>On7X</cp:lastModifiedBy>
  <cp:revision>4</cp:revision>
  <dcterms:created xsi:type="dcterms:W3CDTF">2007-12-06T18:58:00Z</dcterms:created>
  <dcterms:modified xsi:type="dcterms:W3CDTF">2007-12-06T20:23:00Z</dcterms:modified>
</cp:coreProperties>
</file>